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F9" w:rsidRDefault="00FD628F" w:rsidP="009B4C14">
      <w:pPr>
        <w:jc w:val="center"/>
        <w:rPr>
          <w:lang w:val="mn-MN"/>
        </w:rPr>
      </w:pPr>
      <w:r>
        <w:rPr>
          <w:lang w:val="mn-MN"/>
        </w:rPr>
        <w:t>“ТӨРИЙН АУДИТЫН ТАЛААР</w:t>
      </w:r>
      <w:r w:rsidR="003F35B2">
        <w:rPr>
          <w:lang w:val="mn-MN"/>
        </w:rPr>
        <w:t xml:space="preserve"> ТӨРӨӨС</w:t>
      </w:r>
      <w:r>
        <w:rPr>
          <w:lang w:val="mn-MN"/>
        </w:rPr>
        <w:t xml:space="preserve"> БАРИМТЛАХ БОДЛО</w:t>
      </w:r>
      <w:r w:rsidR="00D80130">
        <w:rPr>
          <w:lang w:val="mn-MN"/>
        </w:rPr>
        <w:t>ГО</w:t>
      </w:r>
      <w:r>
        <w:rPr>
          <w:lang w:val="mn-MN"/>
        </w:rPr>
        <w:t xml:space="preserve">” </w:t>
      </w:r>
    </w:p>
    <w:p w:rsidR="000407F9" w:rsidRDefault="00FD628F" w:rsidP="009B4C14">
      <w:pPr>
        <w:jc w:val="center"/>
        <w:rPr>
          <w:lang w:val="mn-MN"/>
        </w:rPr>
      </w:pPr>
      <w:r>
        <w:rPr>
          <w:lang w:val="mn-MN"/>
        </w:rPr>
        <w:t xml:space="preserve">БАТЛАХ ТУХАЙ </w:t>
      </w:r>
      <w:r w:rsidR="000407F9">
        <w:rPr>
          <w:lang w:val="mn-MN"/>
        </w:rPr>
        <w:t>УЛСЫН ИХ ХУРЛЫН</w:t>
      </w:r>
      <w:r w:rsidR="00D80130">
        <w:rPr>
          <w:lang w:val="mn-MN"/>
        </w:rPr>
        <w:t xml:space="preserve"> </w:t>
      </w:r>
      <w:r>
        <w:rPr>
          <w:lang w:val="mn-MN"/>
        </w:rPr>
        <w:t xml:space="preserve">ТОГТООЛЫН </w:t>
      </w:r>
    </w:p>
    <w:p w:rsidR="00780911" w:rsidRDefault="008B52F0" w:rsidP="009B4C14">
      <w:pPr>
        <w:jc w:val="center"/>
        <w:rPr>
          <w:lang w:val="mn-MN"/>
        </w:rPr>
      </w:pPr>
      <w:r>
        <w:rPr>
          <w:lang w:val="mn-MN"/>
        </w:rPr>
        <w:t xml:space="preserve">ТӨСЛИЙН </w:t>
      </w:r>
      <w:r w:rsidR="002C3F6C">
        <w:rPr>
          <w:lang w:val="mn-MN"/>
        </w:rPr>
        <w:t>ТАНИЛЦУУЛГА</w:t>
      </w:r>
    </w:p>
    <w:p w:rsidR="00FD628F" w:rsidRDefault="00FD628F">
      <w:pPr>
        <w:rPr>
          <w:lang w:val="mn-MN"/>
        </w:rPr>
      </w:pPr>
    </w:p>
    <w:p w:rsidR="003B1DC6" w:rsidRDefault="00F6650D" w:rsidP="003B1DC6">
      <w:pPr>
        <w:spacing w:before="240" w:after="240" w:line="240" w:lineRule="auto"/>
        <w:ind w:firstLine="720"/>
        <w:rPr>
          <w:lang w:val="mn-MN"/>
        </w:rPr>
      </w:pPr>
      <w:r w:rsidRPr="00F6650D">
        <w:rPr>
          <w:lang w:val="mn-MN"/>
        </w:rPr>
        <w:t xml:space="preserve">Монгол Улсад хүмүүнлэг, иргэний ардчилсан нийгэм бий болгох Үндсэн хуулийн эрхэм зорилго, </w:t>
      </w:r>
      <w:r w:rsidR="007B5C3F" w:rsidRPr="00F6650D">
        <w:rPr>
          <w:lang w:val="mn-MN"/>
        </w:rPr>
        <w:t>Монгол Улсын Их Хурлын 2016 оны 19 дүгээр тогтоолоор баталсан “Монгол Улсын тогтвортой хөгжлийн үзэл баримтлал-2030”-ын үзэл баримтлал болон Авлигатай</w:t>
      </w:r>
      <w:r w:rsidR="007B5C3F">
        <w:rPr>
          <w:lang w:val="mn-MN"/>
        </w:rPr>
        <w:t xml:space="preserve"> тэмцэх үндэсний хөтөлбөрийн хүрээнд </w:t>
      </w:r>
      <w:r w:rsidR="007B5C3F" w:rsidRPr="00215C6D">
        <w:rPr>
          <w:lang w:val="mn-MN"/>
        </w:rPr>
        <w:t>төрийн аудитын байгууллагын идэвх оролцоог нэмэгдүүлэх замаар сайн засаглалыг дэмжиж, зөвлөн туслах үйл ажиллагааг тэргүүлэх чиглэл болгон төрийн аудитыг хөгжүүлэх</w:t>
      </w:r>
      <w:r w:rsidR="007B5C3F">
        <w:rPr>
          <w:lang w:val="mn-MN"/>
        </w:rPr>
        <w:t xml:space="preserve"> </w:t>
      </w:r>
      <w:r>
        <w:rPr>
          <w:lang w:val="mn-MN"/>
        </w:rPr>
        <w:t xml:space="preserve">зорилго, зорилтын хүрээнд </w:t>
      </w:r>
      <w:r w:rsidR="007B5C3F">
        <w:rPr>
          <w:lang w:val="mn-MN"/>
        </w:rPr>
        <w:t xml:space="preserve">“Төрийн аудитын талаар </w:t>
      </w:r>
      <w:r>
        <w:rPr>
          <w:lang w:val="mn-MN"/>
        </w:rPr>
        <w:t xml:space="preserve">төрөөс </w:t>
      </w:r>
      <w:r w:rsidR="007B5C3F">
        <w:rPr>
          <w:lang w:val="mn-MN"/>
        </w:rPr>
        <w:t>баримтлах бодлог</w:t>
      </w:r>
      <w:r w:rsidR="00296C12">
        <w:rPr>
          <w:lang w:val="mn-MN"/>
        </w:rPr>
        <w:t>о</w:t>
      </w:r>
      <w:r w:rsidR="007B5C3F">
        <w:rPr>
          <w:lang w:val="mn-MN"/>
        </w:rPr>
        <w:t>”</w:t>
      </w:r>
      <w:r w:rsidR="00296C12">
        <w:rPr>
          <w:lang w:val="mn-MN"/>
        </w:rPr>
        <w:t>-ы</w:t>
      </w:r>
      <w:r w:rsidR="003F35B2">
        <w:rPr>
          <w:lang w:val="mn-MN"/>
        </w:rPr>
        <w:t>г</w:t>
      </w:r>
      <w:r w:rsidR="007B5C3F">
        <w:rPr>
          <w:lang w:val="mn-MN"/>
        </w:rPr>
        <w:t xml:space="preserve"> боловсруулсан болно. </w:t>
      </w:r>
    </w:p>
    <w:p w:rsidR="009941C5" w:rsidRDefault="009941C5" w:rsidP="007B5C3F">
      <w:pPr>
        <w:spacing w:before="240" w:after="240" w:line="240" w:lineRule="auto"/>
        <w:ind w:firstLine="720"/>
        <w:rPr>
          <w:lang w:val="mn-MN"/>
        </w:rPr>
      </w:pPr>
      <w:r>
        <w:rPr>
          <w:lang w:val="mn-MN"/>
        </w:rPr>
        <w:t xml:space="preserve">“Төрийн аудитын талаар </w:t>
      </w:r>
      <w:r w:rsidR="00546F10">
        <w:rPr>
          <w:lang w:val="mn-MN"/>
        </w:rPr>
        <w:t xml:space="preserve">төрөөс </w:t>
      </w:r>
      <w:r>
        <w:rPr>
          <w:lang w:val="mn-MN"/>
        </w:rPr>
        <w:t>баримтлах бодлог</w:t>
      </w:r>
      <w:r w:rsidR="00546F10">
        <w:rPr>
          <w:lang w:val="mn-MN"/>
        </w:rPr>
        <w:t xml:space="preserve">о” </w:t>
      </w:r>
      <w:r w:rsidR="00DB4D1F">
        <w:rPr>
          <w:lang w:val="mn-MN"/>
        </w:rPr>
        <w:t>батлах тухай Улсын Их Хурлын тогтоолын төслийн бүрдүүлбэрийг Хөгж</w:t>
      </w:r>
      <w:r>
        <w:rPr>
          <w:lang w:val="mn-MN"/>
        </w:rPr>
        <w:t>лийн бодлого төлөвлөлтийн тухай хууль, Хууль тогтоомжийн тухай хууль болон холбогдох жур</w:t>
      </w:r>
      <w:r w:rsidR="00DB4D1F">
        <w:rPr>
          <w:lang w:val="mn-MN"/>
        </w:rPr>
        <w:t>мын х</w:t>
      </w:r>
      <w:r>
        <w:rPr>
          <w:lang w:val="mn-MN"/>
        </w:rPr>
        <w:t>үрээнд боловсруул</w:t>
      </w:r>
      <w:r w:rsidR="00DB4D1F">
        <w:rPr>
          <w:lang w:val="mn-MN"/>
        </w:rPr>
        <w:t>лаа.</w:t>
      </w:r>
    </w:p>
    <w:p w:rsidR="00065F23" w:rsidRPr="00065F23" w:rsidRDefault="00242403" w:rsidP="00065F23">
      <w:pPr>
        <w:spacing w:before="240" w:after="240" w:line="240" w:lineRule="auto"/>
        <w:ind w:firstLine="720"/>
        <w:rPr>
          <w:rFonts w:eastAsia="SimSun"/>
          <w:color w:val="000000" w:themeColor="text1"/>
          <w:lang w:val="mn-MN"/>
        </w:rPr>
      </w:pPr>
      <w:r>
        <w:rPr>
          <w:rFonts w:eastAsia="SimSun"/>
          <w:color w:val="000000" w:themeColor="text1"/>
          <w:lang w:val="mn-MN"/>
        </w:rPr>
        <w:t>Т</w:t>
      </w:r>
      <w:r w:rsidR="00065F23" w:rsidRPr="00065F23">
        <w:rPr>
          <w:rFonts w:eastAsia="SimSun"/>
          <w:color w:val="000000" w:themeColor="text1"/>
          <w:lang w:val="mn-MN"/>
        </w:rPr>
        <w:t xml:space="preserve">атвар төлөгчдийн хөрөнгийг захиран зарцуулж, шийдвэр гаргаж буй төрийн байгууллагуудын үйл ажиллагааны үр дүнд аудит хийж, дүгнэлт гаргахдаа иргэдийг бодит мэдээллээр хангах, төрийн байгууллагад төсвийн хөрөнгийг үр ашигтай, хэмнэлттэй, үр нөлөөтэй зарцуулахад нь </w:t>
      </w:r>
      <w:r>
        <w:rPr>
          <w:rFonts w:eastAsia="SimSun"/>
          <w:color w:val="000000" w:themeColor="text1"/>
          <w:lang w:val="mn-MN"/>
        </w:rPr>
        <w:t xml:space="preserve">төрийн аудит чухал нөлөө үзүүлж байна. </w:t>
      </w:r>
    </w:p>
    <w:p w:rsidR="000C2407" w:rsidRPr="00C27D1E" w:rsidRDefault="00EC55DB" w:rsidP="00BA226D">
      <w:pPr>
        <w:spacing w:before="240" w:after="240" w:line="240" w:lineRule="auto"/>
        <w:ind w:firstLine="720"/>
        <w:rPr>
          <w:b/>
          <w:lang w:val="mn-MN"/>
        </w:rPr>
      </w:pPr>
      <w:r>
        <w:rPr>
          <w:rFonts w:eastAsia="SimSun"/>
          <w:color w:val="000000" w:themeColor="text1"/>
          <w:lang w:val="mn-MN"/>
        </w:rPr>
        <w:t xml:space="preserve">Төрийн аудитын </w:t>
      </w:r>
      <w:r w:rsidRPr="00EC55DB">
        <w:rPr>
          <w:rFonts w:eastAsia="SimSun"/>
          <w:color w:val="000000" w:themeColor="text1"/>
          <w:lang w:val="mn-MN"/>
        </w:rPr>
        <w:t xml:space="preserve">байгууллага </w:t>
      </w:r>
      <w:r>
        <w:rPr>
          <w:rFonts w:eastAsia="SimSun"/>
          <w:color w:val="000000" w:themeColor="text1"/>
          <w:lang w:val="mn-MN"/>
        </w:rPr>
        <w:t>нь</w:t>
      </w:r>
      <w:r w:rsidRPr="00EC55DB">
        <w:rPr>
          <w:rFonts w:eastAsia="SimSun"/>
          <w:color w:val="000000" w:themeColor="text1"/>
          <w:lang w:val="mn-MN"/>
        </w:rPr>
        <w:t xml:space="preserve"> санхүүгийн тайлангийн, гүйцэтгэлийн</w:t>
      </w:r>
      <w:r w:rsidR="00DB4D1F">
        <w:rPr>
          <w:rFonts w:eastAsia="SimSun"/>
          <w:color w:val="000000" w:themeColor="text1"/>
          <w:lang w:val="mn-MN"/>
        </w:rPr>
        <w:t xml:space="preserve">, </w:t>
      </w:r>
      <w:r w:rsidRPr="00EC55DB">
        <w:rPr>
          <w:rFonts w:eastAsia="SimSun"/>
          <w:color w:val="000000" w:themeColor="text1"/>
          <w:lang w:val="mn-MN"/>
        </w:rPr>
        <w:t>нийцл</w:t>
      </w:r>
      <w:r>
        <w:rPr>
          <w:rFonts w:eastAsia="SimSun"/>
          <w:color w:val="000000" w:themeColor="text1"/>
          <w:lang w:val="mn-MN"/>
        </w:rPr>
        <w:t xml:space="preserve">ийн аудит хийхээр хуульчлагдсан ба гүйцэтгэдэг </w:t>
      </w:r>
      <w:r w:rsidR="00BA226D" w:rsidRPr="00BA226D">
        <w:rPr>
          <w:rFonts w:eastAsia="SimSun"/>
          <w:color w:val="000000" w:themeColor="text1"/>
          <w:lang w:val="mn-MN"/>
        </w:rPr>
        <w:t xml:space="preserve">аудитын тоо болон ажлын ачаалал их, </w:t>
      </w:r>
      <w:r>
        <w:rPr>
          <w:rFonts w:eastAsia="SimSun"/>
          <w:color w:val="000000" w:themeColor="text1"/>
          <w:lang w:val="mn-MN"/>
        </w:rPr>
        <w:t xml:space="preserve">санхүүгийн тайлангийн </w:t>
      </w:r>
      <w:r w:rsidR="00BA226D" w:rsidRPr="00BA226D">
        <w:rPr>
          <w:rFonts w:eastAsia="SimSun"/>
          <w:color w:val="000000" w:themeColor="text1"/>
          <w:lang w:val="mn-MN"/>
        </w:rPr>
        <w:t>аудит хийх нийт байгууллагын зөвхөн тал хувьд нь өөрийн хязгаарлагдмал нөөцөөр аудит хийж байна.</w:t>
      </w:r>
    </w:p>
    <w:p w:rsidR="00477B42" w:rsidRDefault="00236C24" w:rsidP="00236C24">
      <w:pPr>
        <w:spacing w:before="240" w:after="240" w:line="240" w:lineRule="auto"/>
        <w:ind w:firstLine="720"/>
        <w:rPr>
          <w:color w:val="000000" w:themeColor="text1"/>
          <w:lang w:val="mn-MN"/>
        </w:rPr>
      </w:pPr>
      <w:r w:rsidRPr="00236C24">
        <w:rPr>
          <w:color w:val="000000" w:themeColor="text1"/>
          <w:lang w:val="mn-MN"/>
        </w:rPr>
        <w:t xml:space="preserve">2017 онд улсын хэмжээнд санхүүгийн тайлангийн аудитад хамрагдвал зохих 6213 байгууллагын 3179-д нь дүгнэлт гаргаж, аудитад хамрагдвал зохих нийт тайлангийн 51.2 хувьд аудит хийсэн байна. Үүнээс 2116 аудитыг төрийн аудитын байгууллага, 1063-ыг хувийн хэвшлийн аудитын хуулийн этгээдээр гэрээний үндсэн дээр гүйцэтгэсэн байна.  </w:t>
      </w:r>
    </w:p>
    <w:p w:rsidR="007C184C" w:rsidRDefault="00FB72D3" w:rsidP="00477B42">
      <w:pPr>
        <w:spacing w:before="240" w:after="240" w:line="240" w:lineRule="auto"/>
        <w:ind w:firstLine="720"/>
        <w:rPr>
          <w:color w:val="000000" w:themeColor="text1"/>
          <w:lang w:val="mn-MN"/>
        </w:rPr>
      </w:pPr>
      <w:r w:rsidRPr="00FB72D3">
        <w:rPr>
          <w:color w:val="000000" w:themeColor="text1"/>
          <w:lang w:val="mn-MN"/>
        </w:rPr>
        <w:t>Үндэсний аудитын газар нь дэлхийн 191 орны гишүүнчлэлтэй, Нэгдсэн Үндэстний Байгууллагын Эдийн засаг, нийгмийн зөвлөл (ECOSOC)-тэй тусгайлсан зөвлөлдөх эрх бүхий Аудитын дээд байгууллагуудын олон улсын байгууллага (ИНТОСАИ) болон Аудитын дээд байгууллагуудын Азийн байгууллага (АСОСАИ)-д 1996 онд гишүүнээр элсэж, үйл ажиллагаанд нь идэвхтэй оролцож ирсэн.</w:t>
      </w:r>
      <w:r w:rsidR="00A61056">
        <w:rPr>
          <w:color w:val="000000" w:themeColor="text1"/>
          <w:lang w:val="mn-MN"/>
        </w:rPr>
        <w:t xml:space="preserve"> </w:t>
      </w:r>
    </w:p>
    <w:p w:rsidR="00257C66" w:rsidRPr="00257C66" w:rsidRDefault="00257C66" w:rsidP="00257C66">
      <w:pPr>
        <w:spacing w:before="240" w:after="240" w:line="240" w:lineRule="auto"/>
        <w:ind w:firstLine="720"/>
        <w:rPr>
          <w:color w:val="000000" w:themeColor="text1"/>
          <w:lang w:val="mn-MN"/>
        </w:rPr>
      </w:pPr>
      <w:r w:rsidRPr="00257C66">
        <w:rPr>
          <w:color w:val="000000" w:themeColor="text1"/>
          <w:lang w:val="mn-MN"/>
        </w:rPr>
        <w:t xml:space="preserve">Нэгдсэн Үндэсний Байгууллагын Ерөнхий ассамблейн 2011 оны 66 дугаар хуралдаанаар Аудитын дээд байгууллагыг бэхжүүлэх замаар төрийн удирдлагын үр өгөөж, хариуцлага, үр ашиг ба ил тод байдлыг дээшлүүлэх талаар тогтоол гаргасан бөгөөд уг тогтоолын дөрөвдүгээрт “1977 онд батлагдсан Аудитын суурь зарчмын талаарх Лимагийн тунхаглал болон 2007 онд батлагдсан Аудитын дээд байгууллагуудын хараат бус байдлын талаарх Мексикийн тунхаглалыг талархалтайгаар тэмдэглэн, эдгээр тунхаглалуудад тусгагдсан зарчмуудыг </w:t>
      </w:r>
      <w:r w:rsidRPr="00257C66">
        <w:rPr>
          <w:color w:val="000000" w:themeColor="text1"/>
          <w:lang w:val="mn-MN"/>
        </w:rPr>
        <w:lastRenderedPageBreak/>
        <w:t xml:space="preserve">өөрсдийн үндэсний бүтцэд нийцүүлэн хэрэгжүүлэхийг гишүүн орнуудад уриалж байна.” гэж заасан байна. </w:t>
      </w:r>
    </w:p>
    <w:p w:rsidR="00FB72D3" w:rsidRPr="00FB72D3" w:rsidRDefault="00FB72D3" w:rsidP="00FB72D3">
      <w:pPr>
        <w:spacing w:before="240" w:after="240" w:line="240" w:lineRule="auto"/>
        <w:ind w:firstLine="720"/>
        <w:rPr>
          <w:color w:val="000000" w:themeColor="text1"/>
          <w:lang w:val="mn-MN"/>
        </w:rPr>
      </w:pPr>
      <w:r w:rsidRPr="00FB72D3">
        <w:rPr>
          <w:color w:val="000000" w:themeColor="text1"/>
          <w:lang w:val="mn-MN"/>
        </w:rPr>
        <w:t>Улс орны тогтвортой хөгжилд төрийн аудитын гүйцэтгэх үүрэг өсөн нэмэгдэж байгаа өнөөгийн нөхцөлд төрийн аудитын нийгэмд оруулах үнэ цэнэ ба өгөөж, улс орны хөгжилд үзүүлэх бодит нөлөө, аудитын олон улсын хөгжлийн чиг хандлагыг харгалзан үзэж, төрийн аудитыг цаашид хөгжүүлэх бодлогыг тодорхойлох шаардлага зүй ёсоор тавигдаж байна.</w:t>
      </w:r>
    </w:p>
    <w:p w:rsidR="00B370A0" w:rsidRDefault="00477B42" w:rsidP="00665FFF">
      <w:pPr>
        <w:spacing w:before="240" w:after="240" w:line="240" w:lineRule="auto"/>
        <w:ind w:firstLine="720"/>
        <w:rPr>
          <w:rFonts w:eastAsia="SimSun"/>
          <w:color w:val="000000" w:themeColor="text1"/>
          <w:lang w:val="mn-MN"/>
        </w:rPr>
      </w:pPr>
      <w:r>
        <w:rPr>
          <w:color w:val="000000" w:themeColor="text1"/>
          <w:lang w:val="mn-MN"/>
        </w:rPr>
        <w:t xml:space="preserve">Иймд </w:t>
      </w:r>
      <w:r w:rsidR="00357605">
        <w:rPr>
          <w:color w:val="000000" w:themeColor="text1"/>
          <w:lang w:val="mn-MN"/>
        </w:rPr>
        <w:t>т</w:t>
      </w:r>
      <w:r w:rsidR="00357605" w:rsidRPr="00357605">
        <w:rPr>
          <w:color w:val="000000" w:themeColor="text1"/>
          <w:lang w:val="mn-MN"/>
        </w:rPr>
        <w:t>өрийн аудитын бодлого, чиглэлтэй аудитын хуулийн этгээдийн тогтолцоо, дотоод аудит болон байгаль орчны, мэдээллий</w:t>
      </w:r>
      <w:bookmarkStart w:id="0" w:name="_GoBack"/>
      <w:bookmarkEnd w:id="0"/>
      <w:r w:rsidR="00357605" w:rsidRPr="00357605">
        <w:rPr>
          <w:color w:val="000000" w:themeColor="text1"/>
          <w:lang w:val="mn-MN"/>
        </w:rPr>
        <w:t xml:space="preserve">н технологийн зэрэг бусад аудитын </w:t>
      </w:r>
      <w:r w:rsidR="00EA621A">
        <w:rPr>
          <w:color w:val="000000" w:themeColor="text1"/>
          <w:lang w:val="mn-MN"/>
        </w:rPr>
        <w:t>салбарын үйл ажиллагаа, хамтын ажиллагааг сайжруулж</w:t>
      </w:r>
      <w:r w:rsidR="00705BCC">
        <w:rPr>
          <w:color w:val="000000" w:themeColor="text1"/>
          <w:lang w:val="mn-MN"/>
        </w:rPr>
        <w:t xml:space="preserve">, </w:t>
      </w:r>
      <w:r w:rsidR="00EA621A">
        <w:rPr>
          <w:color w:val="000000" w:themeColor="text1"/>
          <w:lang w:val="mn-MN"/>
        </w:rPr>
        <w:t xml:space="preserve">аудитад иргэдийн оролцоог нэмэгдүүлж, хяналттай, хариуцлагатай аудитын тогтолцоог бий болгож, </w:t>
      </w:r>
      <w:r w:rsidR="00FB514D" w:rsidRPr="00FB514D">
        <w:rPr>
          <w:rFonts w:eastAsia="SimSun"/>
          <w:color w:val="000000" w:themeColor="text1"/>
          <w:lang w:val="mn-MN"/>
        </w:rPr>
        <w:t>төрийн аудитын хөгжлийг ол</w:t>
      </w:r>
      <w:r w:rsidR="00EA621A">
        <w:rPr>
          <w:rFonts w:eastAsia="SimSun"/>
          <w:color w:val="000000" w:themeColor="text1"/>
          <w:lang w:val="mn-MN"/>
        </w:rPr>
        <w:t>он улсын чиг хандлагад нийцүүлж</w:t>
      </w:r>
      <w:r w:rsidR="00FB514D" w:rsidRPr="00FB514D">
        <w:rPr>
          <w:rFonts w:eastAsia="SimSun"/>
          <w:color w:val="000000" w:themeColor="text1"/>
          <w:lang w:val="mn-MN"/>
        </w:rPr>
        <w:t xml:space="preserve">, </w:t>
      </w:r>
      <w:r w:rsidR="00FB514D">
        <w:rPr>
          <w:rFonts w:eastAsia="SimSun"/>
          <w:color w:val="000000" w:themeColor="text1"/>
          <w:lang w:val="mn-MN"/>
        </w:rPr>
        <w:t>т</w:t>
      </w:r>
      <w:r w:rsidR="00FB514D" w:rsidRPr="00FB514D">
        <w:rPr>
          <w:rFonts w:eastAsia="SimSun"/>
          <w:color w:val="000000" w:themeColor="text1"/>
          <w:lang w:val="mn-MN"/>
        </w:rPr>
        <w:t xml:space="preserve">өрийн аудитын байгууллагын хууль эрх зүйн орчин боловсронгуй </w:t>
      </w:r>
      <w:r w:rsidR="00FB514D">
        <w:rPr>
          <w:rFonts w:eastAsia="SimSun"/>
          <w:color w:val="000000" w:themeColor="text1"/>
          <w:lang w:val="mn-MN"/>
        </w:rPr>
        <w:t xml:space="preserve">болж, хараат бус байдал бэхжинэ гэж үзэж тогтоолын төслийг танилцуулж байна. </w:t>
      </w:r>
    </w:p>
    <w:p w:rsidR="000365F6" w:rsidRDefault="000365F6" w:rsidP="005F475A">
      <w:pPr>
        <w:spacing w:before="240" w:after="240" w:line="240" w:lineRule="auto"/>
        <w:jc w:val="center"/>
        <w:rPr>
          <w:rFonts w:eastAsia="SimSun"/>
          <w:color w:val="000000" w:themeColor="text1"/>
          <w:lang w:val="mn-MN"/>
        </w:rPr>
      </w:pPr>
    </w:p>
    <w:p w:rsidR="00665FFF" w:rsidRPr="00034FCB" w:rsidRDefault="00047143" w:rsidP="005F475A">
      <w:pPr>
        <w:spacing w:before="240" w:after="240" w:line="240" w:lineRule="auto"/>
        <w:jc w:val="center"/>
        <w:rPr>
          <w:rFonts w:eastAsia="SimSun"/>
          <w:color w:val="000000" w:themeColor="text1"/>
          <w:lang w:val="mn-MN"/>
        </w:rPr>
      </w:pPr>
      <w:r>
        <w:rPr>
          <w:rFonts w:eastAsia="SimSun"/>
          <w:color w:val="000000" w:themeColor="text1"/>
          <w:lang w:val="mn-MN"/>
        </w:rPr>
        <w:t>Тогтоолын төсөл</w:t>
      </w:r>
      <w:r w:rsidR="00034FCB">
        <w:rPr>
          <w:rFonts w:eastAsia="SimSun"/>
          <w:color w:val="000000" w:themeColor="text1"/>
          <w:lang w:val="mn-MN"/>
        </w:rPr>
        <w:t xml:space="preserve"> санаачлагч</w:t>
      </w:r>
      <w:r w:rsidR="000365F6">
        <w:rPr>
          <w:rFonts w:eastAsia="SimSun"/>
          <w:color w:val="000000" w:themeColor="text1"/>
          <w:lang w:val="mn-MN"/>
        </w:rPr>
        <w:t>ид</w:t>
      </w:r>
    </w:p>
    <w:sectPr w:rsidR="00665FFF" w:rsidRPr="00034FCB" w:rsidSect="00877149">
      <w:pgSz w:w="11907" w:h="16840" w:code="9"/>
      <w:pgMar w:top="1560" w:right="851" w:bottom="1418"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panose1 w:val="020B0604020202020204"/>
    <w:charset w:val="00"/>
    <w:family w:val="swiss"/>
    <w:pitch w:val="variable"/>
    <w:sig w:usb0="80000223" w:usb1="00000000" w:usb2="00000000" w:usb3="00000000" w:csb0="00000005"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47F"/>
    <w:multiLevelType w:val="hybridMultilevel"/>
    <w:tmpl w:val="19CE3A60"/>
    <w:lvl w:ilvl="0" w:tplc="AAD646A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326B9"/>
    <w:multiLevelType w:val="multilevel"/>
    <w:tmpl w:val="F1C47BD4"/>
    <w:lvl w:ilvl="0">
      <w:start w:val="2"/>
      <w:numFmt w:val="none"/>
      <w:lvlText w:val="3.1."/>
      <w:lvlJc w:val="left"/>
      <w:pPr>
        <w:ind w:left="357" w:hanging="357"/>
      </w:pPr>
      <w:rPr>
        <w:rFonts w:ascii="Arial" w:hAnsi="Arial" w:cs="Arial" w:hint="default"/>
        <w:sz w:val="22"/>
        <w:szCs w:val="22"/>
      </w:rPr>
    </w:lvl>
    <w:lvl w:ilvl="1">
      <w:start w:val="1"/>
      <w:numFmt w:val="none"/>
      <w:lvlText w:val="3.2.2."/>
      <w:lvlJc w:val="left"/>
      <w:pPr>
        <w:ind w:left="714" w:hanging="357"/>
      </w:pPr>
      <w:rPr>
        <w:rFonts w:hint="default"/>
        <w:sz w:val="22"/>
        <w:szCs w:val="22"/>
      </w:rPr>
    </w:lvl>
    <w:lvl w:ilvl="2">
      <w:start w:val="1"/>
      <w:numFmt w:val="decimal"/>
      <w:lvlText w:val="3.1.%3."/>
      <w:lvlJc w:val="left"/>
      <w:pPr>
        <w:ind w:left="1071" w:hanging="357"/>
      </w:pPr>
      <w:rPr>
        <w:rFonts w:ascii="Arial" w:hAnsi="Arial" w:cs="Arial" w:hint="default"/>
        <w:sz w:val="22"/>
        <w:szCs w:val="22"/>
      </w:rPr>
    </w:lvl>
    <w:lvl w:ilvl="3">
      <w:start w:val="1"/>
      <w:numFmt w:val="decimal"/>
      <w:lvlText w:val="3.2.6.%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676967A8"/>
    <w:multiLevelType w:val="multilevel"/>
    <w:tmpl w:val="768EC0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5F"/>
    <w:rsid w:val="00000F30"/>
    <w:rsid w:val="00034FCB"/>
    <w:rsid w:val="00035573"/>
    <w:rsid w:val="000365F6"/>
    <w:rsid w:val="000407F9"/>
    <w:rsid w:val="00047143"/>
    <w:rsid w:val="0005755F"/>
    <w:rsid w:val="00065F23"/>
    <w:rsid w:val="00075753"/>
    <w:rsid w:val="00082BC2"/>
    <w:rsid w:val="000C2407"/>
    <w:rsid w:val="000E51A4"/>
    <w:rsid w:val="001261C5"/>
    <w:rsid w:val="001D347A"/>
    <w:rsid w:val="001D3986"/>
    <w:rsid w:val="001D7300"/>
    <w:rsid w:val="00215C6D"/>
    <w:rsid w:val="00221AB3"/>
    <w:rsid w:val="00236C24"/>
    <w:rsid w:val="00242403"/>
    <w:rsid w:val="002465FD"/>
    <w:rsid w:val="00257C66"/>
    <w:rsid w:val="00295729"/>
    <w:rsid w:val="002960A8"/>
    <w:rsid w:val="00296C12"/>
    <w:rsid w:val="002A5DDB"/>
    <w:rsid w:val="002C3F6C"/>
    <w:rsid w:val="002D0FEF"/>
    <w:rsid w:val="00357605"/>
    <w:rsid w:val="003654C2"/>
    <w:rsid w:val="003B1DC6"/>
    <w:rsid w:val="003F35B2"/>
    <w:rsid w:val="003F6687"/>
    <w:rsid w:val="003F6C9F"/>
    <w:rsid w:val="0041647D"/>
    <w:rsid w:val="0044736A"/>
    <w:rsid w:val="004518D1"/>
    <w:rsid w:val="00477B42"/>
    <w:rsid w:val="005317B8"/>
    <w:rsid w:val="00546F10"/>
    <w:rsid w:val="005A7B38"/>
    <w:rsid w:val="005F475A"/>
    <w:rsid w:val="00626C01"/>
    <w:rsid w:val="00634925"/>
    <w:rsid w:val="00665FFF"/>
    <w:rsid w:val="00674DA2"/>
    <w:rsid w:val="00681E36"/>
    <w:rsid w:val="0068236B"/>
    <w:rsid w:val="00687F45"/>
    <w:rsid w:val="006C53AC"/>
    <w:rsid w:val="006E3644"/>
    <w:rsid w:val="00705BCC"/>
    <w:rsid w:val="00780911"/>
    <w:rsid w:val="00780E85"/>
    <w:rsid w:val="007A7FBB"/>
    <w:rsid w:val="007B05F0"/>
    <w:rsid w:val="007B5C3F"/>
    <w:rsid w:val="007C184C"/>
    <w:rsid w:val="007D6432"/>
    <w:rsid w:val="00877149"/>
    <w:rsid w:val="008B52F0"/>
    <w:rsid w:val="008C2349"/>
    <w:rsid w:val="008C5C4E"/>
    <w:rsid w:val="008E1EFE"/>
    <w:rsid w:val="00930EA7"/>
    <w:rsid w:val="00931C19"/>
    <w:rsid w:val="0095411C"/>
    <w:rsid w:val="00963918"/>
    <w:rsid w:val="009941C5"/>
    <w:rsid w:val="009B4C14"/>
    <w:rsid w:val="00A45451"/>
    <w:rsid w:val="00A61056"/>
    <w:rsid w:val="00A91D88"/>
    <w:rsid w:val="00AA0808"/>
    <w:rsid w:val="00AD0FE8"/>
    <w:rsid w:val="00B00B4D"/>
    <w:rsid w:val="00B12531"/>
    <w:rsid w:val="00B356C0"/>
    <w:rsid w:val="00B370A0"/>
    <w:rsid w:val="00B54DB0"/>
    <w:rsid w:val="00B9004E"/>
    <w:rsid w:val="00BA226D"/>
    <w:rsid w:val="00BC62F5"/>
    <w:rsid w:val="00BE6757"/>
    <w:rsid w:val="00C118BE"/>
    <w:rsid w:val="00C27D1E"/>
    <w:rsid w:val="00C40646"/>
    <w:rsid w:val="00C85D6F"/>
    <w:rsid w:val="00CD52AD"/>
    <w:rsid w:val="00CF49D6"/>
    <w:rsid w:val="00D06379"/>
    <w:rsid w:val="00D412A5"/>
    <w:rsid w:val="00D602F4"/>
    <w:rsid w:val="00D80130"/>
    <w:rsid w:val="00DB4D1F"/>
    <w:rsid w:val="00DD2326"/>
    <w:rsid w:val="00DF10B9"/>
    <w:rsid w:val="00E259E4"/>
    <w:rsid w:val="00E27337"/>
    <w:rsid w:val="00E34AC0"/>
    <w:rsid w:val="00E42CF9"/>
    <w:rsid w:val="00E47572"/>
    <w:rsid w:val="00E777A8"/>
    <w:rsid w:val="00EA621A"/>
    <w:rsid w:val="00EC55DB"/>
    <w:rsid w:val="00ED00A8"/>
    <w:rsid w:val="00F04B7A"/>
    <w:rsid w:val="00F57229"/>
    <w:rsid w:val="00F6650D"/>
    <w:rsid w:val="00FA1DAD"/>
    <w:rsid w:val="00FB514D"/>
    <w:rsid w:val="00FB72D3"/>
    <w:rsid w:val="00FB7C75"/>
    <w:rsid w:val="00FD628F"/>
    <w:rsid w:val="00FD632F"/>
    <w:rsid w:val="00FE16E8"/>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Дэд гарчиг,Paragraph,List Paragraph1,Bullets,List Paragraph Num"/>
    <w:basedOn w:val="Normal"/>
    <w:link w:val="ListParagraphChar"/>
    <w:uiPriority w:val="34"/>
    <w:qFormat/>
    <w:rsid w:val="00665FFF"/>
    <w:pPr>
      <w:spacing w:line="240" w:lineRule="auto"/>
      <w:ind w:left="720"/>
      <w:contextualSpacing/>
      <w:jc w:val="left"/>
    </w:pPr>
    <w:rPr>
      <w:rFonts w:ascii="Arial Mon" w:eastAsia="Times New Roman" w:hAnsi="Arial Mon" w:cs="Times New Roman"/>
    </w:rPr>
  </w:style>
  <w:style w:type="character" w:customStyle="1" w:styleId="ListParagraphChar">
    <w:name w:val="List Paragraph Char"/>
    <w:aliases w:val="IBL List Paragraph Char,Дэд гарчиг Char,Paragraph Char,List Paragraph1 Char,Bullets Char,List Paragraph Num Char"/>
    <w:link w:val="ListParagraph"/>
    <w:uiPriority w:val="34"/>
    <w:locked/>
    <w:rsid w:val="00665FFF"/>
    <w:rPr>
      <w:rFonts w:ascii="Arial Mon" w:eastAsia="Times New Roman" w:hAnsi="Arial Mon" w:cs="Times New Roman"/>
    </w:rPr>
  </w:style>
  <w:style w:type="paragraph" w:customStyle="1" w:styleId="NoSpacing1">
    <w:name w:val="No Spacing1"/>
    <w:uiPriority w:val="1"/>
    <w:qFormat/>
    <w:rsid w:val="00FE16E8"/>
    <w:pPr>
      <w:spacing w:line="240" w:lineRule="auto"/>
    </w:pPr>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Дэд гарчиг,Paragraph,List Paragraph1,Bullets,List Paragraph Num"/>
    <w:basedOn w:val="Normal"/>
    <w:link w:val="ListParagraphChar"/>
    <w:uiPriority w:val="34"/>
    <w:qFormat/>
    <w:rsid w:val="00665FFF"/>
    <w:pPr>
      <w:spacing w:line="240" w:lineRule="auto"/>
      <w:ind w:left="720"/>
      <w:contextualSpacing/>
      <w:jc w:val="left"/>
    </w:pPr>
    <w:rPr>
      <w:rFonts w:ascii="Arial Mon" w:eastAsia="Times New Roman" w:hAnsi="Arial Mon" w:cs="Times New Roman"/>
    </w:rPr>
  </w:style>
  <w:style w:type="character" w:customStyle="1" w:styleId="ListParagraphChar">
    <w:name w:val="List Paragraph Char"/>
    <w:aliases w:val="IBL List Paragraph Char,Дэд гарчиг Char,Paragraph Char,List Paragraph1 Char,Bullets Char,List Paragraph Num Char"/>
    <w:link w:val="ListParagraph"/>
    <w:uiPriority w:val="34"/>
    <w:locked/>
    <w:rsid w:val="00665FFF"/>
    <w:rPr>
      <w:rFonts w:ascii="Arial Mon" w:eastAsia="Times New Roman" w:hAnsi="Arial Mon" w:cs="Times New Roman"/>
    </w:rPr>
  </w:style>
  <w:style w:type="paragraph" w:customStyle="1" w:styleId="NoSpacing1">
    <w:name w:val="No Spacing1"/>
    <w:uiPriority w:val="1"/>
    <w:qFormat/>
    <w:rsid w:val="00FE16E8"/>
    <w:pPr>
      <w:spacing w:line="240" w:lineRule="auto"/>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Ulzii</dc:creator>
  <cp:lastModifiedBy>Enkhtsetseg Dagva</cp:lastModifiedBy>
  <cp:revision>2</cp:revision>
  <dcterms:created xsi:type="dcterms:W3CDTF">2018-11-01T07:07:00Z</dcterms:created>
  <dcterms:modified xsi:type="dcterms:W3CDTF">2018-11-01T07:07:00Z</dcterms:modified>
</cp:coreProperties>
</file>